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7A" w:rsidRDefault="00E3234C" w:rsidP="00125493">
      <w:pPr>
        <w:bidi/>
        <w:spacing w:after="0"/>
        <w:ind w:left="1440"/>
        <w:jc w:val="both"/>
        <w:rPr>
          <w:rFonts w:cs="B Nazanin" w:hint="cs"/>
          <w:b/>
          <w:bCs/>
          <w:sz w:val="26"/>
          <w:szCs w:val="26"/>
          <w:rtl/>
          <w:lang w:bidi="fa-IR"/>
        </w:rPr>
      </w:pPr>
      <w:r>
        <w:rPr>
          <w:rFonts w:cs="B Nazanin" w:hint="cs"/>
          <w:b/>
          <w:bCs/>
          <w:sz w:val="26"/>
          <w:szCs w:val="26"/>
          <w:rtl/>
          <w:lang w:bidi="fa-IR"/>
        </w:rPr>
        <w:t>ریاست محترم</w:t>
      </w:r>
      <w:r w:rsidR="00125493">
        <w:rPr>
          <w:rFonts w:cs="B Nazanin" w:hint="cs"/>
          <w:b/>
          <w:bCs/>
          <w:sz w:val="26"/>
          <w:szCs w:val="26"/>
          <w:rtl/>
          <w:lang w:bidi="fa-IR"/>
        </w:rPr>
        <w:t xml:space="preserve"> محاکم تجدیدنظر استان تهران</w:t>
      </w:r>
    </w:p>
    <w:p w:rsidR="00125493" w:rsidRPr="00607461" w:rsidRDefault="00125493" w:rsidP="00125493">
      <w:pPr>
        <w:bidi/>
        <w:spacing w:after="0"/>
        <w:ind w:left="1440"/>
        <w:jc w:val="both"/>
        <w:rPr>
          <w:rFonts w:cs="B Nazanin"/>
          <w:sz w:val="26"/>
          <w:szCs w:val="26"/>
          <w:rtl/>
          <w:lang w:bidi="fa-IR"/>
        </w:rPr>
      </w:pPr>
      <w:r>
        <w:rPr>
          <w:rFonts w:cs="B Nazanin" w:hint="cs"/>
          <w:b/>
          <w:bCs/>
          <w:sz w:val="26"/>
          <w:szCs w:val="26"/>
          <w:rtl/>
          <w:lang w:bidi="fa-IR"/>
        </w:rPr>
        <w:t>موضوع: پاسخ به لایحه تجدیدنظر خواهی دادنامه اصداری از شعبه103 محاکم حقوقی تهران پرونده کلاسه شماره910010</w:t>
      </w:r>
    </w:p>
    <w:p w:rsidR="007759B6" w:rsidRPr="005E15D7" w:rsidRDefault="007759B6" w:rsidP="007759B6">
      <w:pPr>
        <w:bidi/>
        <w:spacing w:after="0"/>
        <w:ind w:left="1440"/>
        <w:jc w:val="both"/>
        <w:rPr>
          <w:rFonts w:cs="B Nazanin"/>
          <w:b/>
          <w:bCs/>
          <w:sz w:val="26"/>
          <w:szCs w:val="26"/>
          <w:rtl/>
          <w:lang w:bidi="fa-IR"/>
        </w:rPr>
      </w:pPr>
    </w:p>
    <w:p w:rsidR="00A13648" w:rsidRDefault="00A13648" w:rsidP="00BC3D77">
      <w:pPr>
        <w:bidi/>
        <w:spacing w:after="0"/>
        <w:ind w:left="1440"/>
        <w:jc w:val="both"/>
        <w:rPr>
          <w:rFonts w:cs="B Nazanin" w:hint="cs"/>
          <w:sz w:val="26"/>
          <w:szCs w:val="26"/>
          <w:rtl/>
          <w:lang w:bidi="fa-IR"/>
        </w:rPr>
      </w:pPr>
      <w:r w:rsidRPr="00F25C56">
        <w:rPr>
          <w:rFonts w:cs="B Nazanin" w:hint="cs"/>
          <w:sz w:val="26"/>
          <w:szCs w:val="26"/>
          <w:rtl/>
          <w:lang w:bidi="fa-IR"/>
        </w:rPr>
        <w:t>احتراماً</w:t>
      </w:r>
    </w:p>
    <w:p w:rsidR="00385A7F" w:rsidRDefault="00D71AAE" w:rsidP="00385A7F">
      <w:pPr>
        <w:bidi/>
        <w:spacing w:after="0"/>
        <w:ind w:left="1440"/>
        <w:jc w:val="both"/>
        <w:rPr>
          <w:rFonts w:cs="B Nazanin" w:hint="cs"/>
          <w:sz w:val="26"/>
          <w:szCs w:val="26"/>
          <w:rtl/>
          <w:lang w:bidi="fa-IR"/>
        </w:rPr>
      </w:pPr>
      <w:r>
        <w:rPr>
          <w:rFonts w:cs="B Nazanin" w:hint="cs"/>
          <w:sz w:val="26"/>
          <w:szCs w:val="26"/>
          <w:rtl/>
          <w:lang w:bidi="fa-IR"/>
        </w:rPr>
        <w:t>بوکالت از تجدیدنظر</w:t>
      </w:r>
      <w:r w:rsidR="00385A7F">
        <w:rPr>
          <w:rFonts w:cs="B Nazanin" w:hint="cs"/>
          <w:sz w:val="26"/>
          <w:szCs w:val="26"/>
          <w:rtl/>
          <w:lang w:bidi="fa-IR"/>
        </w:rPr>
        <w:t>خوانده آقای علی امان الهی</w:t>
      </w:r>
      <w:r w:rsidR="002E0F5C">
        <w:rPr>
          <w:rFonts w:cs="B Nazanin" w:hint="cs"/>
          <w:sz w:val="26"/>
          <w:szCs w:val="26"/>
          <w:rtl/>
          <w:lang w:bidi="fa-IR"/>
        </w:rPr>
        <w:t>،</w:t>
      </w:r>
      <w:r w:rsidR="00385A7F">
        <w:rPr>
          <w:rFonts w:cs="B Nazanin" w:hint="cs"/>
          <w:sz w:val="26"/>
          <w:szCs w:val="26"/>
          <w:rtl/>
          <w:lang w:bidi="fa-IR"/>
        </w:rPr>
        <w:t xml:space="preserve"> بدینوسیله در بقاء مهلت قانونی در پاسخ به لایحه تجدیدنظر خواهی دادنامه اصداری از </w:t>
      </w:r>
      <w:r>
        <w:rPr>
          <w:rFonts w:cs="B Nazanin" w:hint="cs"/>
          <w:sz w:val="26"/>
          <w:szCs w:val="26"/>
          <w:rtl/>
          <w:lang w:bidi="fa-IR"/>
        </w:rPr>
        <w:t>شعبه103 محاکم حقوقی تهران موضوع</w:t>
      </w:r>
      <w:r w:rsidR="00385A7F">
        <w:rPr>
          <w:rFonts w:cs="B Nazanin" w:hint="cs"/>
          <w:sz w:val="26"/>
          <w:szCs w:val="26"/>
          <w:rtl/>
          <w:lang w:bidi="fa-IR"/>
        </w:rPr>
        <w:t xml:space="preserve"> پرونده کلاسه شماره910010 مراتب مشروحه ذیل را به استحضار قضات عالیمقام تجدیدنظر رسانده و استدعای اتخاذ تصمیم شایسته مبنی بر ردّ دعوی تجدیدنظر خواهی و تأئید دادنامه معترض عنه را دارد:</w:t>
      </w:r>
    </w:p>
    <w:p w:rsidR="00D71AAE" w:rsidRDefault="00D71AAE" w:rsidP="00D71AAE">
      <w:pPr>
        <w:bidi/>
        <w:spacing w:after="0"/>
        <w:ind w:left="1440"/>
        <w:jc w:val="both"/>
        <w:rPr>
          <w:rFonts w:cs="B Nazanin" w:hint="cs"/>
          <w:sz w:val="26"/>
          <w:szCs w:val="26"/>
          <w:rtl/>
          <w:lang w:bidi="fa-IR"/>
        </w:rPr>
      </w:pPr>
    </w:p>
    <w:p w:rsidR="00D71AAE" w:rsidRDefault="00385A7F" w:rsidP="00D71AAE">
      <w:pPr>
        <w:bidi/>
        <w:spacing w:after="0"/>
        <w:ind w:left="1440"/>
        <w:jc w:val="both"/>
        <w:rPr>
          <w:rFonts w:cs="B Nazanin" w:hint="cs"/>
          <w:sz w:val="26"/>
          <w:szCs w:val="26"/>
          <w:rtl/>
          <w:lang w:bidi="fa-IR"/>
        </w:rPr>
      </w:pPr>
      <w:r>
        <w:rPr>
          <w:rFonts w:cs="B Nazanin" w:hint="cs"/>
          <w:sz w:val="26"/>
          <w:szCs w:val="26"/>
          <w:rtl/>
          <w:lang w:bidi="fa-IR"/>
        </w:rPr>
        <w:t>1) استناد وکلای محترم تجدیدنظر خواه به نظریات مشورتی کمیسیون اداره حقوقی قوة قضائیه -صرف نظر از اینکه اصولاً این نظ</w:t>
      </w:r>
      <w:r w:rsidR="00D71AAE">
        <w:rPr>
          <w:rFonts w:cs="B Nazanin" w:hint="cs"/>
          <w:sz w:val="26"/>
          <w:szCs w:val="26"/>
          <w:rtl/>
          <w:lang w:bidi="fa-IR"/>
        </w:rPr>
        <w:t>ریات برای محاکم قضایی لازم الاتب</w:t>
      </w:r>
      <w:r>
        <w:rPr>
          <w:rFonts w:cs="B Nazanin" w:hint="cs"/>
          <w:sz w:val="26"/>
          <w:szCs w:val="26"/>
          <w:rtl/>
          <w:lang w:bidi="fa-IR"/>
        </w:rPr>
        <w:t>اع نیست- ارتباطی با وضعیت واقعی ملک موکل نداشته و از موضوع پرونده نیز خروج موضوع</w:t>
      </w:r>
      <w:r w:rsidR="00D71AAE">
        <w:rPr>
          <w:rFonts w:cs="B Nazanin" w:hint="cs"/>
          <w:sz w:val="26"/>
          <w:szCs w:val="26"/>
          <w:rtl/>
          <w:lang w:bidi="fa-IR"/>
        </w:rPr>
        <w:t>ی</w:t>
      </w:r>
      <w:r>
        <w:rPr>
          <w:rFonts w:cs="B Nazanin" w:hint="cs"/>
          <w:sz w:val="26"/>
          <w:szCs w:val="26"/>
          <w:rtl/>
          <w:lang w:bidi="fa-IR"/>
        </w:rPr>
        <w:t xml:space="preserve"> دارند زیرا تغییر شغل</w:t>
      </w:r>
      <w:r w:rsidR="00D71AAE">
        <w:rPr>
          <w:rFonts w:cs="B Nazanin" w:hint="cs"/>
          <w:sz w:val="26"/>
          <w:szCs w:val="26"/>
          <w:rtl/>
          <w:lang w:bidi="fa-IR"/>
        </w:rPr>
        <w:t>،</w:t>
      </w:r>
      <w:r>
        <w:rPr>
          <w:rFonts w:cs="B Nazanin" w:hint="cs"/>
          <w:sz w:val="26"/>
          <w:szCs w:val="26"/>
          <w:rtl/>
          <w:lang w:bidi="fa-IR"/>
        </w:rPr>
        <w:t xml:space="preserve"> همانگونه که از معنای آن </w:t>
      </w:r>
      <w:r w:rsidR="00D71AAE">
        <w:rPr>
          <w:rFonts w:cs="B Nazanin" w:hint="cs"/>
          <w:sz w:val="26"/>
          <w:szCs w:val="26"/>
          <w:rtl/>
          <w:lang w:bidi="fa-IR"/>
        </w:rPr>
        <w:t>مستفاد</w:t>
      </w:r>
      <w:r>
        <w:rPr>
          <w:rFonts w:cs="B Nazanin" w:hint="cs"/>
          <w:sz w:val="26"/>
          <w:szCs w:val="26"/>
          <w:rtl/>
          <w:lang w:bidi="fa-IR"/>
        </w:rPr>
        <w:t xml:space="preserve"> می‌شود به معنای رها نمودن شغلی و اشتغال به شغل جدید است به نحویکه با مراجعه به ملک استیجاری</w:t>
      </w:r>
      <w:r w:rsidR="00D71AAE">
        <w:rPr>
          <w:rFonts w:cs="B Nazanin" w:hint="cs"/>
          <w:sz w:val="26"/>
          <w:szCs w:val="26"/>
          <w:rtl/>
          <w:lang w:bidi="fa-IR"/>
        </w:rPr>
        <w:t>،</w:t>
      </w:r>
      <w:r>
        <w:rPr>
          <w:rFonts w:cs="B Nazanin" w:hint="cs"/>
          <w:sz w:val="26"/>
          <w:szCs w:val="26"/>
          <w:rtl/>
          <w:lang w:bidi="fa-IR"/>
        </w:rPr>
        <w:t xml:space="preserve"> تغییر شغل </w:t>
      </w:r>
      <w:r w:rsidR="00D71AAE">
        <w:rPr>
          <w:rFonts w:cs="B Nazanin" w:hint="cs"/>
          <w:sz w:val="26"/>
          <w:szCs w:val="26"/>
          <w:rtl/>
          <w:lang w:bidi="fa-IR"/>
        </w:rPr>
        <w:t>مرئی و</w:t>
      </w:r>
      <w:r>
        <w:rPr>
          <w:rFonts w:cs="B Nazanin" w:hint="cs"/>
          <w:sz w:val="26"/>
          <w:szCs w:val="26"/>
          <w:rtl/>
          <w:lang w:bidi="fa-IR"/>
        </w:rPr>
        <w:t xml:space="preserve"> مشهود باشد</w:t>
      </w:r>
      <w:r w:rsidR="002E0F5C">
        <w:rPr>
          <w:rFonts w:cs="B Nazanin" w:hint="cs"/>
          <w:sz w:val="26"/>
          <w:szCs w:val="26"/>
          <w:rtl/>
          <w:lang w:bidi="fa-IR"/>
        </w:rPr>
        <w:t>.</w:t>
      </w:r>
      <w:r>
        <w:rPr>
          <w:rFonts w:cs="B Nazanin" w:hint="cs"/>
          <w:sz w:val="26"/>
          <w:szCs w:val="26"/>
          <w:rtl/>
          <w:lang w:bidi="fa-IR"/>
        </w:rPr>
        <w:t xml:space="preserve"> در حالیکه در مانحن فیه</w:t>
      </w:r>
      <w:r w:rsidR="00D71AAE">
        <w:rPr>
          <w:rFonts w:cs="B Nazanin" w:hint="cs"/>
          <w:sz w:val="26"/>
          <w:szCs w:val="26"/>
          <w:rtl/>
          <w:lang w:bidi="fa-IR"/>
        </w:rPr>
        <w:t>:</w:t>
      </w:r>
    </w:p>
    <w:p w:rsidR="00385A7F" w:rsidRDefault="00385A7F" w:rsidP="002E0F5C">
      <w:pPr>
        <w:bidi/>
        <w:spacing w:after="0"/>
        <w:ind w:left="1440"/>
        <w:jc w:val="both"/>
        <w:rPr>
          <w:rFonts w:cs="B Nazanin" w:hint="cs"/>
          <w:sz w:val="26"/>
          <w:szCs w:val="26"/>
          <w:rtl/>
          <w:lang w:bidi="fa-IR"/>
        </w:rPr>
      </w:pPr>
      <w:r>
        <w:rPr>
          <w:rFonts w:cs="B Nazanin" w:hint="cs"/>
          <w:sz w:val="26"/>
          <w:szCs w:val="26"/>
          <w:rtl/>
          <w:lang w:bidi="fa-IR"/>
        </w:rPr>
        <w:t xml:space="preserve"> اولاً- موکل از سال 1376 در ملک استیجاری همان فعالیتی را انجام داده است که در حال حاضر انجام می‌دهد و حداقل از قبل از اخذ تأمین دلیل اولیه خواهان </w:t>
      </w:r>
      <w:r w:rsidRPr="002E0F5C">
        <w:rPr>
          <w:rFonts w:cs="B Nazanin" w:hint="cs"/>
          <w:b/>
          <w:bCs/>
          <w:sz w:val="26"/>
          <w:szCs w:val="26"/>
          <w:rtl/>
          <w:lang w:bidi="fa-IR"/>
        </w:rPr>
        <w:t>یعنی سال1385</w:t>
      </w:r>
      <w:r>
        <w:rPr>
          <w:rFonts w:cs="B Nazanin" w:hint="cs"/>
          <w:sz w:val="26"/>
          <w:szCs w:val="26"/>
          <w:rtl/>
          <w:lang w:bidi="fa-IR"/>
        </w:rPr>
        <w:t xml:space="preserve"> در کنار فروش مواد غذایی و لوازم‌التحریر به فروش ظروف آشپزخانه</w:t>
      </w:r>
      <w:r w:rsidR="00D71AAE">
        <w:rPr>
          <w:rFonts w:cs="B Nazanin" w:hint="cs"/>
          <w:sz w:val="26"/>
          <w:szCs w:val="26"/>
          <w:rtl/>
          <w:lang w:bidi="fa-IR"/>
        </w:rPr>
        <w:t xml:space="preserve"> که امروزه عرفاً مشابه تلقی می‌گردند</w:t>
      </w:r>
      <w:r>
        <w:rPr>
          <w:rFonts w:cs="B Nazanin" w:hint="cs"/>
          <w:sz w:val="26"/>
          <w:szCs w:val="26"/>
          <w:rtl/>
          <w:lang w:bidi="fa-IR"/>
        </w:rPr>
        <w:t xml:space="preserve"> پرداخته است.</w:t>
      </w:r>
    </w:p>
    <w:p w:rsidR="00385A7F" w:rsidRDefault="00385A7F" w:rsidP="00385A7F">
      <w:pPr>
        <w:bidi/>
        <w:spacing w:after="0"/>
        <w:ind w:left="1440"/>
        <w:jc w:val="both"/>
        <w:rPr>
          <w:rFonts w:cs="B Nazanin" w:hint="cs"/>
          <w:sz w:val="26"/>
          <w:szCs w:val="26"/>
          <w:rtl/>
          <w:lang w:bidi="fa-IR"/>
        </w:rPr>
      </w:pPr>
      <w:r>
        <w:rPr>
          <w:rFonts w:cs="B Nazanin" w:hint="cs"/>
          <w:sz w:val="26"/>
          <w:szCs w:val="26"/>
          <w:rtl/>
          <w:lang w:bidi="fa-IR"/>
        </w:rPr>
        <w:t xml:space="preserve">ثانیاً- همانگونه که در تصاویر تقدیمی مضبوط در پرونده </w:t>
      </w:r>
      <w:r w:rsidR="00D71AAE">
        <w:rPr>
          <w:rFonts w:cs="B Nazanin" w:hint="cs"/>
          <w:sz w:val="26"/>
          <w:szCs w:val="26"/>
          <w:rtl/>
          <w:lang w:bidi="fa-IR"/>
        </w:rPr>
        <w:t>م</w:t>
      </w:r>
      <w:r>
        <w:rPr>
          <w:rFonts w:cs="B Nazanin" w:hint="cs"/>
          <w:sz w:val="26"/>
          <w:szCs w:val="26"/>
          <w:rtl/>
          <w:lang w:bidi="fa-IR"/>
        </w:rPr>
        <w:t>شهود اس</w:t>
      </w:r>
      <w:r w:rsidR="002E0F5C">
        <w:rPr>
          <w:rFonts w:cs="B Nazanin" w:hint="cs"/>
          <w:sz w:val="26"/>
          <w:szCs w:val="26"/>
          <w:rtl/>
          <w:lang w:bidi="fa-IR"/>
        </w:rPr>
        <w:t>ت با مراجعه به ملک استیجاری،</w:t>
      </w:r>
      <w:r>
        <w:rPr>
          <w:rFonts w:cs="B Nazanin" w:hint="cs"/>
          <w:sz w:val="26"/>
          <w:szCs w:val="26"/>
          <w:rtl/>
          <w:lang w:bidi="fa-IR"/>
        </w:rPr>
        <w:t xml:space="preserve"> آنچه متبادر ذهن می‌گردد سوپر مواد غذایی است و نه لوکس فروشی و لوازم خانگی به نحویکه مورد ادعای وکلای محترم تجدیدنظر خواه است.</w:t>
      </w:r>
    </w:p>
    <w:p w:rsidR="00757B06" w:rsidRDefault="00385A7F" w:rsidP="00D71AAE">
      <w:pPr>
        <w:bidi/>
        <w:spacing w:after="0"/>
        <w:ind w:left="1440"/>
        <w:jc w:val="both"/>
        <w:rPr>
          <w:rFonts w:cs="B Nazanin" w:hint="cs"/>
          <w:sz w:val="26"/>
          <w:szCs w:val="26"/>
          <w:rtl/>
          <w:lang w:bidi="fa-IR"/>
        </w:rPr>
      </w:pPr>
      <w:r>
        <w:rPr>
          <w:rFonts w:cs="B Nazanin" w:hint="cs"/>
          <w:sz w:val="26"/>
          <w:szCs w:val="26"/>
          <w:rtl/>
          <w:lang w:bidi="fa-IR"/>
        </w:rPr>
        <w:lastRenderedPageBreak/>
        <w:t xml:space="preserve">ثالثاً- </w:t>
      </w:r>
      <w:r w:rsidR="00757B06">
        <w:rPr>
          <w:rFonts w:cs="B Nazanin" w:hint="cs"/>
          <w:sz w:val="26"/>
          <w:szCs w:val="26"/>
          <w:rtl/>
          <w:lang w:bidi="fa-IR"/>
        </w:rPr>
        <w:t>نحوة فعالیت موکل موضوعی نبوده است که از دید خواهان مخفی بوده باشد. خواهان محترم حداقل از سال 1385 که خود مبادرت به اخذ تأمین دلیل نموده است بخوبی از نحوة فعالیت موکل اطلاع و آگاهی کامل داشته و حدود 6سال نه تنها اعتراض</w:t>
      </w:r>
      <w:r w:rsidR="002E0F5C">
        <w:rPr>
          <w:rFonts w:cs="B Nazanin" w:hint="cs"/>
          <w:sz w:val="26"/>
          <w:szCs w:val="26"/>
          <w:rtl/>
          <w:lang w:bidi="fa-IR"/>
        </w:rPr>
        <w:t>ی</w:t>
      </w:r>
      <w:r w:rsidR="00757B06">
        <w:rPr>
          <w:rFonts w:cs="B Nazanin" w:hint="cs"/>
          <w:sz w:val="26"/>
          <w:szCs w:val="26"/>
          <w:rtl/>
          <w:lang w:bidi="fa-IR"/>
        </w:rPr>
        <w:t xml:space="preserve"> به موضوع نداشته بلکه اجاره بهای خود را بصورت منظم و مرتب دریافت نموده است.</w:t>
      </w:r>
      <w:r w:rsidR="00D71AAE">
        <w:rPr>
          <w:rFonts w:cs="B Nazanin" w:hint="cs"/>
          <w:sz w:val="26"/>
          <w:szCs w:val="26"/>
          <w:rtl/>
          <w:lang w:bidi="fa-IR"/>
        </w:rPr>
        <w:t xml:space="preserve"> غرض از بیان این مطلب به معنای آن نیست که موجر با دریافت اجاره بها از حق </w:t>
      </w:r>
      <w:r w:rsidR="002E0F5C">
        <w:rPr>
          <w:rFonts w:cs="B Nazanin" w:hint="cs"/>
          <w:sz w:val="26"/>
          <w:szCs w:val="26"/>
          <w:rtl/>
          <w:lang w:bidi="fa-IR"/>
        </w:rPr>
        <w:t xml:space="preserve">ادعایی </w:t>
      </w:r>
      <w:r w:rsidR="00D71AAE">
        <w:rPr>
          <w:rFonts w:cs="B Nazanin" w:hint="cs"/>
          <w:sz w:val="26"/>
          <w:szCs w:val="26"/>
          <w:rtl/>
          <w:lang w:bidi="fa-IR"/>
        </w:rPr>
        <w:t>خود عدول نموده باشد بلکه منظور آن است که حتی از دید خواهان (حداقل از 6سال پیش) نیز</w:t>
      </w:r>
      <w:r w:rsidR="00757B06">
        <w:rPr>
          <w:rFonts w:cs="B Nazanin" w:hint="cs"/>
          <w:sz w:val="26"/>
          <w:szCs w:val="26"/>
          <w:rtl/>
          <w:lang w:bidi="fa-IR"/>
        </w:rPr>
        <w:t xml:space="preserve"> نحوة فعالیت موکل هیچ مغایرتی با قرارداد اجاره منعقده و عرف محل نداشته است.</w:t>
      </w:r>
    </w:p>
    <w:p w:rsidR="00757B06" w:rsidRPr="00F25C56" w:rsidRDefault="00D71AAE" w:rsidP="008110A7">
      <w:pPr>
        <w:bidi/>
        <w:spacing w:after="0"/>
        <w:ind w:left="1440"/>
        <w:jc w:val="both"/>
        <w:rPr>
          <w:rFonts w:cs="B Nazanin"/>
          <w:sz w:val="26"/>
          <w:szCs w:val="26"/>
          <w:rtl/>
          <w:lang w:bidi="fa-IR"/>
        </w:rPr>
      </w:pPr>
      <w:r>
        <w:rPr>
          <w:rFonts w:cs="B Nazanin" w:hint="cs"/>
          <w:sz w:val="26"/>
          <w:szCs w:val="26"/>
          <w:rtl/>
          <w:lang w:bidi="fa-IR"/>
        </w:rPr>
        <w:t>این امر از این جهت حائز اهمیت است که</w:t>
      </w:r>
      <w:r w:rsidR="00757B06">
        <w:rPr>
          <w:rFonts w:cs="B Nazanin" w:hint="cs"/>
          <w:sz w:val="26"/>
          <w:szCs w:val="26"/>
          <w:rtl/>
          <w:lang w:bidi="fa-IR"/>
        </w:rPr>
        <w:t xml:space="preserve"> اصولاً از همان ابتدای انعقاد قرارداد اجاره و اختصاص قسمتی از برج‌های مسکونی هرمزان به منظور فروشگاه</w:t>
      </w:r>
      <w:r>
        <w:rPr>
          <w:rFonts w:cs="B Nazanin" w:hint="cs"/>
          <w:sz w:val="26"/>
          <w:szCs w:val="26"/>
          <w:rtl/>
          <w:lang w:bidi="fa-IR"/>
        </w:rPr>
        <w:t>،</w:t>
      </w:r>
      <w:r w:rsidR="00757B06">
        <w:rPr>
          <w:rFonts w:cs="B Nazanin" w:hint="cs"/>
          <w:sz w:val="26"/>
          <w:szCs w:val="26"/>
          <w:rtl/>
          <w:lang w:bidi="fa-IR"/>
        </w:rPr>
        <w:t xml:space="preserve"> هدف رفع نیازهای ساکنین برج‌های مسکونی مذکور بوده است</w:t>
      </w:r>
      <w:r>
        <w:rPr>
          <w:rFonts w:cs="B Nazanin" w:hint="cs"/>
          <w:sz w:val="26"/>
          <w:szCs w:val="26"/>
          <w:rtl/>
          <w:lang w:bidi="fa-IR"/>
        </w:rPr>
        <w:t xml:space="preserve"> و</w:t>
      </w:r>
      <w:r w:rsidR="00757B06">
        <w:rPr>
          <w:rFonts w:cs="B Nazanin" w:hint="cs"/>
          <w:sz w:val="26"/>
          <w:szCs w:val="26"/>
          <w:rtl/>
          <w:lang w:bidi="fa-IR"/>
        </w:rPr>
        <w:t xml:space="preserve"> اینکه در قرارداد اجاره مورخ</w:t>
      </w:r>
      <w:r>
        <w:rPr>
          <w:rFonts w:cs="B Nazanin" w:hint="cs"/>
          <w:sz w:val="26"/>
          <w:szCs w:val="26"/>
          <w:rtl/>
          <w:lang w:bidi="fa-IR"/>
        </w:rPr>
        <w:t xml:space="preserve">15/10/1376 </w:t>
      </w:r>
      <w:r w:rsidR="00757B06">
        <w:rPr>
          <w:rFonts w:cs="B Nazanin" w:hint="cs"/>
          <w:sz w:val="26"/>
          <w:szCs w:val="26"/>
          <w:rtl/>
          <w:lang w:bidi="fa-IR"/>
        </w:rPr>
        <w:t xml:space="preserve">آمده است که ملک استیجاری به منظور فروشگاه سوپر و لوازم التحریر به اجاره واگذار گردیده است </w:t>
      </w:r>
      <w:r w:rsidR="008110A7" w:rsidRPr="008110A7">
        <w:rPr>
          <w:rFonts w:ascii="Times New Roman" w:hAnsi="Times New Roman" w:cs="B Nazanin" w:hint="cs"/>
          <w:b/>
          <w:bCs/>
          <w:sz w:val="26"/>
          <w:szCs w:val="26"/>
          <w:rtl/>
          <w:lang w:bidi="fa-IR"/>
        </w:rPr>
        <w:t>-</w:t>
      </w:r>
      <w:r w:rsidR="008110A7" w:rsidRPr="008110A7">
        <w:rPr>
          <w:rFonts w:ascii="Times New Roman" w:hAnsi="Times New Roman" w:cs="Times New Roman" w:hint="cs"/>
          <w:b/>
          <w:bCs/>
          <w:sz w:val="26"/>
          <w:szCs w:val="26"/>
          <w:rtl/>
          <w:lang w:bidi="fa-IR"/>
        </w:rPr>
        <w:t xml:space="preserve"> </w:t>
      </w:r>
      <w:r w:rsidR="00757B06" w:rsidRPr="008110A7">
        <w:rPr>
          <w:rFonts w:cs="B Nazanin" w:hint="cs"/>
          <w:b/>
          <w:bCs/>
          <w:sz w:val="26"/>
          <w:szCs w:val="26"/>
          <w:rtl/>
          <w:lang w:bidi="fa-IR"/>
        </w:rPr>
        <w:t>با این وصف که لوازم التحریر و سوپر با هم سنخیتی ندارند</w:t>
      </w:r>
      <w:r w:rsidR="008110A7" w:rsidRPr="008110A7">
        <w:rPr>
          <w:rFonts w:cs="B Nazanin" w:hint="cs"/>
          <w:b/>
          <w:bCs/>
          <w:sz w:val="26"/>
          <w:szCs w:val="26"/>
          <w:rtl/>
          <w:lang w:bidi="fa-IR"/>
        </w:rPr>
        <w:t>-</w:t>
      </w:r>
      <w:r w:rsidR="00757B06" w:rsidRPr="008110A7">
        <w:rPr>
          <w:rFonts w:cs="B Nazanin" w:hint="cs"/>
          <w:sz w:val="26"/>
          <w:szCs w:val="26"/>
          <w:rtl/>
          <w:lang w:bidi="fa-IR"/>
        </w:rPr>
        <w:t xml:space="preserve"> </w:t>
      </w:r>
      <w:r w:rsidR="00757B06">
        <w:rPr>
          <w:rFonts w:cs="B Nazanin" w:hint="cs"/>
          <w:sz w:val="26"/>
          <w:szCs w:val="26"/>
          <w:rtl/>
          <w:lang w:bidi="fa-IR"/>
        </w:rPr>
        <w:t xml:space="preserve">به معنای آن است که از دید موجر نیز هدف آن بوده است که نیازهای ساکنین برج مرتفع گردد و </w:t>
      </w:r>
      <w:r>
        <w:rPr>
          <w:rFonts w:cs="B Nazanin" w:hint="cs"/>
          <w:sz w:val="26"/>
          <w:szCs w:val="26"/>
          <w:rtl/>
          <w:lang w:bidi="fa-IR"/>
        </w:rPr>
        <w:t>در واقع</w:t>
      </w:r>
      <w:r w:rsidR="00757B06">
        <w:rPr>
          <w:rFonts w:cs="B Nazanin" w:hint="cs"/>
          <w:sz w:val="26"/>
          <w:szCs w:val="26"/>
          <w:rtl/>
          <w:lang w:bidi="fa-IR"/>
        </w:rPr>
        <w:t xml:space="preserve"> خصوصیتی بر نحوة فعالیت مستأجر به نحویکه در لایحه تجدیدنظر خواهی آمده است مدّنظر ط</w:t>
      </w:r>
      <w:r>
        <w:rPr>
          <w:rFonts w:cs="B Nazanin" w:hint="cs"/>
          <w:sz w:val="26"/>
          <w:szCs w:val="26"/>
          <w:rtl/>
          <w:lang w:bidi="fa-IR"/>
        </w:rPr>
        <w:t>رفین نبوده است. این موضوعی است که در دادنامه اصداری</w:t>
      </w:r>
      <w:r w:rsidR="00757B06">
        <w:rPr>
          <w:rFonts w:cs="B Nazanin" w:hint="cs"/>
          <w:sz w:val="26"/>
          <w:szCs w:val="26"/>
          <w:rtl/>
          <w:lang w:bidi="fa-IR"/>
        </w:rPr>
        <w:t xml:space="preserve"> دادگاه محترم</w:t>
      </w:r>
      <w:r>
        <w:rPr>
          <w:rFonts w:cs="B Nazanin" w:hint="cs"/>
          <w:sz w:val="26"/>
          <w:szCs w:val="26"/>
          <w:rtl/>
          <w:lang w:bidi="fa-IR"/>
        </w:rPr>
        <w:t xml:space="preserve"> نیز بدان اشاره شده است.</w:t>
      </w:r>
      <w:r w:rsidR="00757B06">
        <w:rPr>
          <w:rFonts w:cs="B Nazanin" w:hint="cs"/>
          <w:sz w:val="26"/>
          <w:szCs w:val="26"/>
          <w:rtl/>
          <w:lang w:bidi="fa-IR"/>
        </w:rPr>
        <w:t xml:space="preserve"> دادگاه محترم بدوی به </w:t>
      </w:r>
      <w:r w:rsidR="002E0F5C">
        <w:rPr>
          <w:rFonts w:cs="B Nazanin" w:hint="cs"/>
          <w:sz w:val="26"/>
          <w:szCs w:val="26"/>
          <w:rtl/>
          <w:lang w:bidi="fa-IR"/>
        </w:rPr>
        <w:t xml:space="preserve">درستی چنین استدلال نموده است </w:t>
      </w:r>
      <w:r w:rsidR="00757B06">
        <w:rPr>
          <w:rFonts w:cs="B Nazanin" w:hint="cs"/>
          <w:sz w:val="26"/>
          <w:szCs w:val="26"/>
          <w:rtl/>
          <w:lang w:bidi="fa-IR"/>
        </w:rPr>
        <w:t>همانگونه که فروش لوازم التحریر با فروش مواد غذایی علی الظاهر سنخیتی ندارد بنابراین فروش ظروف آشپزخانه نیز در سوپر مواد غذایی حداقل از منظر دید مستأجر و موجری</w:t>
      </w:r>
      <w:r>
        <w:rPr>
          <w:rFonts w:cs="B Nazanin" w:hint="cs"/>
          <w:sz w:val="26"/>
          <w:szCs w:val="26"/>
          <w:rtl/>
          <w:lang w:bidi="fa-IR"/>
        </w:rPr>
        <w:t xml:space="preserve"> </w:t>
      </w:r>
      <w:r w:rsidR="00757B06">
        <w:rPr>
          <w:rFonts w:cs="B Nazanin" w:hint="cs"/>
          <w:sz w:val="26"/>
          <w:szCs w:val="26"/>
          <w:rtl/>
          <w:lang w:bidi="fa-IR"/>
        </w:rPr>
        <w:t>که</w:t>
      </w:r>
      <w:r w:rsidR="008110A7">
        <w:rPr>
          <w:rFonts w:cs="B Nazanin"/>
          <w:sz w:val="26"/>
          <w:szCs w:val="26"/>
          <w:lang w:bidi="fa-IR"/>
        </w:rPr>
        <w:t xml:space="preserve"> </w:t>
      </w:r>
      <w:r w:rsidR="008110A7">
        <w:rPr>
          <w:rFonts w:cs="B Nazanin" w:hint="cs"/>
          <w:sz w:val="26"/>
          <w:szCs w:val="26"/>
          <w:rtl/>
          <w:lang w:bidi="fa-IR"/>
        </w:rPr>
        <w:t>از</w:t>
      </w:r>
      <w:r w:rsidR="00757B06">
        <w:rPr>
          <w:rFonts w:cs="B Nazanin" w:hint="cs"/>
          <w:sz w:val="26"/>
          <w:szCs w:val="26"/>
          <w:rtl/>
          <w:lang w:bidi="fa-IR"/>
        </w:rPr>
        <w:t xml:space="preserve"> 6سال پیش </w:t>
      </w:r>
      <w:r>
        <w:rPr>
          <w:rFonts w:cs="B Nazanin" w:hint="cs"/>
          <w:sz w:val="26"/>
          <w:szCs w:val="26"/>
          <w:rtl/>
          <w:lang w:bidi="fa-IR"/>
        </w:rPr>
        <w:t xml:space="preserve">از </w:t>
      </w:r>
      <w:r w:rsidR="00757B06">
        <w:rPr>
          <w:rFonts w:cs="B Nazanin" w:hint="cs"/>
          <w:sz w:val="26"/>
          <w:szCs w:val="26"/>
          <w:rtl/>
          <w:lang w:bidi="fa-IR"/>
        </w:rPr>
        <w:t>نحوة فعالیت مستأجر خود آگاهی داشته است عدم سنخیّتی نمی تواند داشته باشد.</w:t>
      </w:r>
    </w:p>
    <w:p w:rsidR="007C0DB4" w:rsidRPr="002E0F5C" w:rsidRDefault="00D71AAE" w:rsidP="008110A7">
      <w:pPr>
        <w:bidi/>
        <w:spacing w:after="0"/>
        <w:ind w:left="1440"/>
        <w:jc w:val="both"/>
        <w:rPr>
          <w:rFonts w:cs="B Nazanin" w:hint="cs"/>
          <w:b/>
          <w:bCs/>
          <w:sz w:val="26"/>
          <w:szCs w:val="26"/>
          <w:rtl/>
          <w:lang w:bidi="fa-IR"/>
        </w:rPr>
      </w:pPr>
      <w:r>
        <w:rPr>
          <w:rFonts w:cs="B Nazanin" w:hint="cs"/>
          <w:sz w:val="26"/>
          <w:szCs w:val="26"/>
          <w:rtl/>
          <w:lang w:bidi="fa-IR"/>
        </w:rPr>
        <w:t xml:space="preserve">2- همانگونه که در لایحه تقدیمی در دادگاه محترم بدوی بیان گردید </w:t>
      </w:r>
      <w:r w:rsidR="0012481B">
        <w:rPr>
          <w:rFonts w:cs="B Nazanin" w:hint="cs"/>
          <w:sz w:val="26"/>
          <w:szCs w:val="26"/>
          <w:rtl/>
          <w:lang w:bidi="fa-IR"/>
        </w:rPr>
        <w:t>امروزه در تمامی فروشگاههای عرضه</w:t>
      </w:r>
      <w:r w:rsidR="007C0DB4">
        <w:rPr>
          <w:rFonts w:cs="B Nazanin" w:hint="cs"/>
          <w:sz w:val="26"/>
          <w:szCs w:val="26"/>
          <w:rtl/>
          <w:lang w:bidi="fa-IR"/>
        </w:rPr>
        <w:t xml:space="preserve"> موادغذایی و سوپرهای بزرگ</w:t>
      </w:r>
      <w:r w:rsidR="0012481B">
        <w:rPr>
          <w:rFonts w:cs="B Nazanin" w:hint="cs"/>
          <w:sz w:val="26"/>
          <w:szCs w:val="26"/>
          <w:rtl/>
          <w:lang w:bidi="fa-IR"/>
        </w:rPr>
        <w:t>،</w:t>
      </w:r>
      <w:r w:rsidR="007C0DB4">
        <w:rPr>
          <w:rFonts w:cs="B Nazanin" w:hint="cs"/>
          <w:sz w:val="26"/>
          <w:szCs w:val="26"/>
          <w:rtl/>
          <w:lang w:bidi="fa-IR"/>
        </w:rPr>
        <w:t xml:space="preserve"> </w:t>
      </w:r>
      <w:r w:rsidR="00B17EA7">
        <w:rPr>
          <w:rFonts w:cs="B Nazanin" w:hint="cs"/>
          <w:sz w:val="26"/>
          <w:szCs w:val="26"/>
          <w:rtl/>
          <w:lang w:bidi="fa-IR"/>
        </w:rPr>
        <w:t>قسمتی از فروشگاه</w:t>
      </w:r>
      <w:r w:rsidR="0012481B">
        <w:rPr>
          <w:rFonts w:cs="B Nazanin" w:hint="cs"/>
          <w:sz w:val="26"/>
          <w:szCs w:val="26"/>
          <w:rtl/>
          <w:lang w:bidi="fa-IR"/>
        </w:rPr>
        <w:t>،</w:t>
      </w:r>
      <w:r w:rsidR="00B17EA7">
        <w:rPr>
          <w:rFonts w:cs="B Nazanin" w:hint="cs"/>
          <w:sz w:val="26"/>
          <w:szCs w:val="26"/>
          <w:rtl/>
          <w:lang w:bidi="fa-IR"/>
        </w:rPr>
        <w:t xml:space="preserve"> اختصاص به عرضه و فروش لوازم آشپزخانه و نظافت و بعضاً کادویی مرتبط با لوازم آشپزخانه دارد</w:t>
      </w:r>
      <w:r w:rsidR="0012481B">
        <w:rPr>
          <w:rFonts w:cs="B Nazanin" w:hint="cs"/>
          <w:sz w:val="26"/>
          <w:szCs w:val="26"/>
          <w:rtl/>
          <w:lang w:bidi="fa-IR"/>
        </w:rPr>
        <w:t>.</w:t>
      </w:r>
      <w:r w:rsidR="00B17EA7">
        <w:rPr>
          <w:rFonts w:cs="B Nazanin" w:hint="cs"/>
          <w:sz w:val="26"/>
          <w:szCs w:val="26"/>
          <w:rtl/>
          <w:lang w:bidi="fa-IR"/>
        </w:rPr>
        <w:t xml:space="preserve"> بنابراین</w:t>
      </w:r>
      <w:r w:rsidR="0012481B">
        <w:rPr>
          <w:rFonts w:cs="B Nazanin" w:hint="cs"/>
          <w:sz w:val="26"/>
          <w:szCs w:val="26"/>
          <w:rtl/>
          <w:lang w:bidi="fa-IR"/>
        </w:rPr>
        <w:t>،</w:t>
      </w:r>
      <w:r w:rsidR="00B17EA7">
        <w:rPr>
          <w:rFonts w:cs="B Nazanin" w:hint="cs"/>
          <w:sz w:val="26"/>
          <w:szCs w:val="26"/>
          <w:rtl/>
          <w:lang w:bidi="fa-IR"/>
        </w:rPr>
        <w:t xml:space="preserve"> ضمن آنکه اختصاص قسمت کوچکی از مورد اجاره و نه همة آن</w:t>
      </w:r>
      <w:r>
        <w:rPr>
          <w:rFonts w:cs="B Nazanin" w:hint="cs"/>
          <w:sz w:val="26"/>
          <w:szCs w:val="26"/>
          <w:rtl/>
          <w:lang w:bidi="fa-IR"/>
        </w:rPr>
        <w:t xml:space="preserve"> </w:t>
      </w:r>
      <w:r w:rsidRPr="002E0F5C">
        <w:rPr>
          <w:rFonts w:cs="B Nazanin" w:hint="cs"/>
          <w:sz w:val="26"/>
          <w:szCs w:val="26"/>
          <w:u w:val="single"/>
          <w:rtl/>
          <w:lang w:bidi="fa-IR"/>
        </w:rPr>
        <w:t xml:space="preserve">(ملک استیجاری در </w:t>
      </w:r>
      <w:r w:rsidR="008110A7">
        <w:rPr>
          <w:rFonts w:cs="B Nazanin" w:hint="cs"/>
          <w:sz w:val="26"/>
          <w:szCs w:val="26"/>
          <w:u w:val="single"/>
          <w:rtl/>
          <w:lang w:bidi="fa-IR"/>
        </w:rPr>
        <w:t>2</w:t>
      </w:r>
      <w:r w:rsidRPr="002E0F5C">
        <w:rPr>
          <w:rFonts w:cs="B Nazanin" w:hint="cs"/>
          <w:sz w:val="26"/>
          <w:szCs w:val="26"/>
          <w:u w:val="single"/>
          <w:rtl/>
          <w:lang w:bidi="fa-IR"/>
        </w:rPr>
        <w:t xml:space="preserve">طبقه </w:t>
      </w:r>
      <w:r w:rsidRPr="002E0F5C">
        <w:rPr>
          <w:rFonts w:cs="B Nazanin" w:hint="cs"/>
          <w:sz w:val="26"/>
          <w:szCs w:val="26"/>
          <w:u w:val="single"/>
          <w:rtl/>
          <w:lang w:bidi="fa-IR"/>
        </w:rPr>
        <w:lastRenderedPageBreak/>
        <w:t>به اجاره واگذار گردیده و موکل در قسمت کوچکی از طبقه دوم به فروش ظروف آشپزخانه در کنار فروش مواد غذایی و لوازم التحریر می‌پردازد)</w:t>
      </w:r>
      <w:r w:rsidR="00B17EA7">
        <w:rPr>
          <w:rFonts w:cs="B Nazanin" w:hint="cs"/>
          <w:sz w:val="26"/>
          <w:szCs w:val="26"/>
          <w:rtl/>
          <w:lang w:bidi="fa-IR"/>
        </w:rPr>
        <w:t xml:space="preserve"> هیچ منافاتی با فعالیت موردنظر </w:t>
      </w:r>
      <w:r w:rsidR="009F4CEE">
        <w:rPr>
          <w:rFonts w:cs="B Nazanin" w:hint="cs"/>
          <w:sz w:val="26"/>
          <w:szCs w:val="26"/>
          <w:rtl/>
          <w:lang w:bidi="fa-IR"/>
        </w:rPr>
        <w:t xml:space="preserve">نداشته </w:t>
      </w:r>
      <w:r w:rsidR="0012481B">
        <w:rPr>
          <w:rFonts w:cs="B Nazanin" w:hint="cs"/>
          <w:sz w:val="26"/>
          <w:szCs w:val="26"/>
          <w:rtl/>
          <w:lang w:bidi="fa-IR"/>
        </w:rPr>
        <w:t>و به معنای تغییر شغل</w:t>
      </w:r>
      <w:r w:rsidR="009F4CEE">
        <w:rPr>
          <w:rFonts w:cs="B Nazanin" w:hint="cs"/>
          <w:sz w:val="26"/>
          <w:szCs w:val="26"/>
          <w:rtl/>
          <w:lang w:bidi="fa-IR"/>
        </w:rPr>
        <w:t xml:space="preserve"> مصرحه</w:t>
      </w:r>
      <w:r w:rsidR="0012481B">
        <w:rPr>
          <w:rFonts w:cs="B Nazanin" w:hint="cs"/>
          <w:sz w:val="26"/>
          <w:szCs w:val="26"/>
          <w:rtl/>
          <w:lang w:bidi="fa-IR"/>
        </w:rPr>
        <w:t xml:space="preserve"> </w:t>
      </w:r>
      <w:r w:rsidR="00B17EA7">
        <w:rPr>
          <w:rFonts w:cs="B Nazanin" w:hint="cs"/>
          <w:sz w:val="26"/>
          <w:szCs w:val="26"/>
          <w:rtl/>
          <w:lang w:bidi="fa-IR"/>
        </w:rPr>
        <w:t xml:space="preserve">در سند اجاره </w:t>
      </w:r>
      <w:r w:rsidR="009F4CEE">
        <w:rPr>
          <w:rFonts w:cs="B Nazanin" w:hint="cs"/>
          <w:sz w:val="26"/>
          <w:szCs w:val="26"/>
          <w:rtl/>
          <w:lang w:bidi="fa-IR"/>
        </w:rPr>
        <w:t>نیست</w:t>
      </w:r>
      <w:r w:rsidR="00B17EA7">
        <w:rPr>
          <w:rFonts w:cs="B Nazanin" w:hint="cs"/>
          <w:sz w:val="26"/>
          <w:szCs w:val="26"/>
          <w:rtl/>
          <w:lang w:bidi="fa-IR"/>
        </w:rPr>
        <w:t xml:space="preserve"> </w:t>
      </w:r>
      <w:r w:rsidR="00B17EA7" w:rsidRPr="002E0F5C">
        <w:rPr>
          <w:rFonts w:cs="B Nazanin" w:hint="cs"/>
          <w:b/>
          <w:bCs/>
          <w:sz w:val="26"/>
          <w:szCs w:val="26"/>
          <w:rtl/>
          <w:lang w:bidi="fa-IR"/>
        </w:rPr>
        <w:t>بلکه بنا به عرف موجود در جامعه</w:t>
      </w:r>
      <w:r w:rsidR="0012481B" w:rsidRPr="002E0F5C">
        <w:rPr>
          <w:rFonts w:cs="B Nazanin" w:hint="cs"/>
          <w:b/>
          <w:bCs/>
          <w:sz w:val="26"/>
          <w:szCs w:val="26"/>
          <w:rtl/>
          <w:lang w:bidi="fa-IR"/>
        </w:rPr>
        <w:t xml:space="preserve"> نیز</w:t>
      </w:r>
      <w:r w:rsidR="004425C7" w:rsidRPr="002E0F5C">
        <w:rPr>
          <w:rFonts w:cs="B Nazanin" w:hint="cs"/>
          <w:b/>
          <w:bCs/>
          <w:sz w:val="26"/>
          <w:szCs w:val="26"/>
          <w:rtl/>
          <w:lang w:bidi="fa-IR"/>
        </w:rPr>
        <w:t xml:space="preserve"> عرضة این گونه لوازم</w:t>
      </w:r>
      <w:r w:rsidR="009F4CEE" w:rsidRPr="002E0F5C">
        <w:rPr>
          <w:rFonts w:cs="B Nazanin" w:hint="cs"/>
          <w:b/>
          <w:bCs/>
          <w:sz w:val="26"/>
          <w:szCs w:val="26"/>
          <w:rtl/>
          <w:lang w:bidi="fa-IR"/>
        </w:rPr>
        <w:t>،</w:t>
      </w:r>
      <w:r w:rsidR="004425C7" w:rsidRPr="002E0F5C">
        <w:rPr>
          <w:rFonts w:cs="B Nazanin" w:hint="cs"/>
          <w:b/>
          <w:bCs/>
          <w:sz w:val="26"/>
          <w:szCs w:val="26"/>
          <w:rtl/>
          <w:lang w:bidi="fa-IR"/>
        </w:rPr>
        <w:t xml:space="preserve"> </w:t>
      </w:r>
      <w:r w:rsidR="0012481B" w:rsidRPr="002E0F5C">
        <w:rPr>
          <w:rFonts w:cs="B Nazanin" w:hint="cs"/>
          <w:b/>
          <w:bCs/>
          <w:sz w:val="26"/>
          <w:szCs w:val="26"/>
          <w:rtl/>
          <w:lang w:bidi="fa-IR"/>
        </w:rPr>
        <w:t>تشابه عرفی کامل</w:t>
      </w:r>
      <w:r w:rsidR="004425C7" w:rsidRPr="002E0F5C">
        <w:rPr>
          <w:rFonts w:cs="B Nazanin" w:hint="cs"/>
          <w:b/>
          <w:bCs/>
          <w:sz w:val="26"/>
          <w:szCs w:val="26"/>
          <w:rtl/>
          <w:lang w:bidi="fa-IR"/>
        </w:rPr>
        <w:t xml:space="preserve"> با موضوع شغل موردنظر دارد.</w:t>
      </w:r>
    </w:p>
    <w:p w:rsidR="00AB396C" w:rsidRDefault="00AB396C" w:rsidP="00AB396C">
      <w:pPr>
        <w:bidi/>
        <w:spacing w:after="0"/>
        <w:ind w:left="1440"/>
        <w:jc w:val="both"/>
        <w:rPr>
          <w:rFonts w:cs="B Nazanin"/>
          <w:sz w:val="26"/>
          <w:szCs w:val="26"/>
          <w:rtl/>
          <w:lang w:bidi="fa-IR"/>
        </w:rPr>
      </w:pPr>
    </w:p>
    <w:p w:rsidR="004425C7" w:rsidRDefault="004425C7" w:rsidP="00AB396C">
      <w:pPr>
        <w:bidi/>
        <w:spacing w:after="0"/>
        <w:ind w:left="1440"/>
        <w:jc w:val="both"/>
        <w:rPr>
          <w:rFonts w:cs="B Nazanin" w:hint="cs"/>
          <w:sz w:val="26"/>
          <w:szCs w:val="26"/>
          <w:rtl/>
          <w:lang w:bidi="fa-IR"/>
        </w:rPr>
      </w:pPr>
      <w:r>
        <w:rPr>
          <w:rFonts w:cs="B Nazanin" w:hint="cs"/>
          <w:sz w:val="26"/>
          <w:szCs w:val="26"/>
          <w:rtl/>
          <w:lang w:bidi="fa-IR"/>
        </w:rPr>
        <w:t>علیهذا با توجه به مراتب معنونه و</w:t>
      </w:r>
      <w:r w:rsidR="006401E0">
        <w:rPr>
          <w:rFonts w:cs="B Nazanin" w:hint="cs"/>
          <w:sz w:val="26"/>
          <w:szCs w:val="26"/>
          <w:rtl/>
          <w:lang w:bidi="fa-IR"/>
        </w:rPr>
        <w:t xml:space="preserve"> با </w:t>
      </w:r>
      <w:r w:rsidR="00AB396C">
        <w:rPr>
          <w:rFonts w:cs="B Nazanin" w:hint="cs"/>
          <w:sz w:val="26"/>
          <w:szCs w:val="26"/>
          <w:rtl/>
          <w:lang w:bidi="fa-IR"/>
        </w:rPr>
        <w:t>جلب عنایت قضات عالیمقام تجدیدنظر به</w:t>
      </w:r>
      <w:r w:rsidR="006401E0">
        <w:rPr>
          <w:rFonts w:cs="B Nazanin" w:hint="cs"/>
          <w:sz w:val="26"/>
          <w:szCs w:val="26"/>
          <w:rtl/>
          <w:lang w:bidi="fa-IR"/>
        </w:rPr>
        <w:t xml:space="preserve"> تصاویر</w:t>
      </w:r>
      <w:r w:rsidR="002E0F5C">
        <w:rPr>
          <w:rFonts w:cs="B Nazanin" w:hint="cs"/>
          <w:sz w:val="26"/>
          <w:szCs w:val="26"/>
          <w:rtl/>
          <w:lang w:bidi="fa-IR"/>
        </w:rPr>
        <w:t xml:space="preserve"> مضبوط</w:t>
      </w:r>
      <w:r w:rsidR="006401E0">
        <w:rPr>
          <w:rFonts w:cs="B Nazanin" w:hint="cs"/>
          <w:sz w:val="26"/>
          <w:szCs w:val="26"/>
          <w:rtl/>
          <w:lang w:bidi="fa-IR"/>
        </w:rPr>
        <w:t xml:space="preserve"> تهیه شده از وضعیت فعلی ملک مورد اجاره</w:t>
      </w:r>
      <w:r>
        <w:rPr>
          <w:rFonts w:cs="B Nazanin" w:hint="cs"/>
          <w:sz w:val="26"/>
          <w:szCs w:val="26"/>
          <w:rtl/>
          <w:lang w:bidi="fa-IR"/>
        </w:rPr>
        <w:t xml:space="preserve"> </w:t>
      </w:r>
      <w:r w:rsidR="006401E0">
        <w:rPr>
          <w:rFonts w:cs="B Nazanin" w:hint="cs"/>
          <w:sz w:val="26"/>
          <w:szCs w:val="26"/>
          <w:rtl/>
          <w:lang w:bidi="fa-IR"/>
        </w:rPr>
        <w:t xml:space="preserve">که </w:t>
      </w:r>
      <w:r>
        <w:rPr>
          <w:rFonts w:cs="B Nazanin" w:hint="cs"/>
          <w:sz w:val="26"/>
          <w:szCs w:val="26"/>
          <w:rtl/>
          <w:lang w:bidi="fa-IR"/>
        </w:rPr>
        <w:t>دلالت قطعی بر عدم تغییرشغل موکل دا</w:t>
      </w:r>
      <w:r w:rsidR="009F4CEE">
        <w:rPr>
          <w:rFonts w:cs="B Nazanin" w:hint="cs"/>
          <w:sz w:val="26"/>
          <w:szCs w:val="26"/>
          <w:rtl/>
          <w:lang w:bidi="fa-IR"/>
        </w:rPr>
        <w:t>رد</w:t>
      </w:r>
      <w:r>
        <w:rPr>
          <w:rFonts w:cs="B Nazanin" w:hint="cs"/>
          <w:sz w:val="26"/>
          <w:szCs w:val="26"/>
          <w:rtl/>
          <w:lang w:bidi="fa-IR"/>
        </w:rPr>
        <w:t xml:space="preserve"> </w:t>
      </w:r>
      <w:r w:rsidR="00AB396C">
        <w:rPr>
          <w:rFonts w:cs="B Nazanin" w:hint="cs"/>
          <w:sz w:val="26"/>
          <w:szCs w:val="26"/>
          <w:rtl/>
          <w:lang w:bidi="fa-IR"/>
        </w:rPr>
        <w:t xml:space="preserve">و بر حسب مورد </w:t>
      </w:r>
      <w:r>
        <w:rPr>
          <w:rFonts w:cs="B Nazanin" w:hint="cs"/>
          <w:sz w:val="26"/>
          <w:szCs w:val="26"/>
          <w:rtl/>
          <w:lang w:bidi="fa-IR"/>
        </w:rPr>
        <w:t xml:space="preserve">این موضوع از طریق صدور قرار معاینه </w:t>
      </w:r>
      <w:r w:rsidR="006401E0">
        <w:rPr>
          <w:rFonts w:cs="B Nazanin" w:hint="cs"/>
          <w:sz w:val="26"/>
          <w:szCs w:val="26"/>
          <w:rtl/>
          <w:lang w:bidi="fa-IR"/>
        </w:rPr>
        <w:t xml:space="preserve">محل </w:t>
      </w:r>
      <w:r>
        <w:rPr>
          <w:rFonts w:cs="B Nazanin" w:hint="cs"/>
          <w:sz w:val="26"/>
          <w:szCs w:val="26"/>
          <w:rtl/>
          <w:lang w:bidi="fa-IR"/>
        </w:rPr>
        <w:t xml:space="preserve">قابل احراز است استدعای </w:t>
      </w:r>
      <w:r w:rsidR="009F4CEE">
        <w:rPr>
          <w:rFonts w:cs="B Nazanin" w:hint="cs"/>
          <w:sz w:val="26"/>
          <w:szCs w:val="26"/>
          <w:rtl/>
          <w:lang w:bidi="fa-IR"/>
        </w:rPr>
        <w:t>صدور حکم</w:t>
      </w:r>
      <w:r>
        <w:rPr>
          <w:rFonts w:cs="B Nazanin" w:hint="cs"/>
          <w:sz w:val="26"/>
          <w:szCs w:val="26"/>
          <w:rtl/>
          <w:lang w:bidi="fa-IR"/>
        </w:rPr>
        <w:t xml:space="preserve"> شایسته مبنی بر ردّ دعوی </w:t>
      </w:r>
      <w:r w:rsidR="00AB396C">
        <w:rPr>
          <w:rFonts w:cs="B Nazanin" w:hint="cs"/>
          <w:sz w:val="26"/>
          <w:szCs w:val="26"/>
          <w:rtl/>
          <w:lang w:bidi="fa-IR"/>
        </w:rPr>
        <w:t>تجدیدنظرخواهی حاضر و تأئید دادنامه معترض عنه را دارد.</w:t>
      </w:r>
    </w:p>
    <w:p w:rsidR="00AB396C" w:rsidRDefault="00AB396C" w:rsidP="00AB396C">
      <w:pPr>
        <w:bidi/>
        <w:spacing w:after="0"/>
        <w:ind w:left="1440"/>
        <w:jc w:val="both"/>
        <w:rPr>
          <w:rFonts w:cs="B Nazanin" w:hint="cs"/>
          <w:sz w:val="26"/>
          <w:szCs w:val="26"/>
          <w:rtl/>
          <w:lang w:bidi="fa-IR"/>
        </w:rPr>
      </w:pPr>
    </w:p>
    <w:p w:rsidR="002E0F5C" w:rsidRDefault="002E0F5C" w:rsidP="002E0F5C">
      <w:pPr>
        <w:bidi/>
        <w:spacing w:after="0"/>
        <w:ind w:left="1440"/>
        <w:jc w:val="both"/>
        <w:rPr>
          <w:rFonts w:cs="B Nazanin" w:hint="cs"/>
          <w:sz w:val="26"/>
          <w:szCs w:val="26"/>
          <w:rtl/>
          <w:lang w:bidi="fa-IR"/>
        </w:rPr>
      </w:pPr>
    </w:p>
    <w:p w:rsidR="002E0F5C" w:rsidRPr="007C0DB4" w:rsidRDefault="002E0F5C" w:rsidP="002E0F5C">
      <w:pPr>
        <w:bidi/>
        <w:spacing w:after="0"/>
        <w:ind w:left="1440"/>
        <w:jc w:val="both"/>
        <w:rPr>
          <w:rFonts w:cs="B Nazanin"/>
          <w:sz w:val="26"/>
          <w:szCs w:val="26"/>
          <w:rtl/>
          <w:lang w:bidi="fa-IR"/>
        </w:rPr>
      </w:pPr>
    </w:p>
    <w:p w:rsidR="00FF3C5E" w:rsidRDefault="00FF3C5E" w:rsidP="00FF3C5E">
      <w:pPr>
        <w:bidi/>
        <w:spacing w:after="0"/>
        <w:ind w:left="1440"/>
        <w:jc w:val="both"/>
        <w:rPr>
          <w:rFonts w:cs="B Nazanin"/>
          <w:sz w:val="26"/>
          <w:szCs w:val="26"/>
          <w:rtl/>
          <w:lang w:bidi="fa-IR"/>
        </w:rPr>
      </w:pP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sidR="00682394">
        <w:rPr>
          <w:rFonts w:cs="B Nazanin" w:hint="cs"/>
          <w:sz w:val="26"/>
          <w:szCs w:val="26"/>
          <w:rtl/>
          <w:lang w:bidi="fa-IR"/>
        </w:rPr>
        <w:t xml:space="preserve">           </w:t>
      </w:r>
      <w:r w:rsidR="007E3B2B">
        <w:rPr>
          <w:rFonts w:cs="B Nazanin" w:hint="cs"/>
          <w:sz w:val="26"/>
          <w:szCs w:val="26"/>
          <w:rtl/>
          <w:lang w:bidi="fa-IR"/>
        </w:rPr>
        <w:t xml:space="preserve"> </w:t>
      </w:r>
      <w:r>
        <w:rPr>
          <w:rFonts w:cs="B Nazanin" w:hint="cs"/>
          <w:sz w:val="26"/>
          <w:szCs w:val="26"/>
          <w:rtl/>
          <w:lang w:bidi="fa-IR"/>
        </w:rPr>
        <w:t xml:space="preserve">    با تجدید احترام</w:t>
      </w:r>
    </w:p>
    <w:p w:rsidR="00FF3C5E" w:rsidRDefault="00FF3C5E" w:rsidP="00FF3C5E">
      <w:pPr>
        <w:bidi/>
        <w:spacing w:after="0"/>
        <w:ind w:left="1440"/>
        <w:jc w:val="both"/>
        <w:rPr>
          <w:rFonts w:cs="B Nazanin"/>
          <w:sz w:val="26"/>
          <w:szCs w:val="26"/>
          <w:rtl/>
          <w:lang w:bidi="fa-IR"/>
        </w:rPr>
      </w:pP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t xml:space="preserve"> علی طلائی کمال آباد</w:t>
      </w:r>
    </w:p>
    <w:p w:rsidR="00FF3C5E" w:rsidRPr="00F25C56" w:rsidRDefault="00FF3C5E" w:rsidP="00FF3C5E">
      <w:pPr>
        <w:bidi/>
        <w:spacing w:after="0"/>
        <w:ind w:left="1440"/>
        <w:jc w:val="both"/>
        <w:rPr>
          <w:rFonts w:cs="B Nazanin"/>
          <w:sz w:val="26"/>
          <w:szCs w:val="26"/>
          <w:rtl/>
          <w:lang w:bidi="fa-IR"/>
        </w:rPr>
      </w:pP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r>
      <w:r>
        <w:rPr>
          <w:rFonts w:cs="B Nazanin" w:hint="cs"/>
          <w:sz w:val="26"/>
          <w:szCs w:val="26"/>
          <w:rtl/>
          <w:lang w:bidi="fa-IR"/>
        </w:rPr>
        <w:tab/>
        <w:t xml:space="preserve">           وکیل آقای علی امان الهی</w:t>
      </w:r>
    </w:p>
    <w:p w:rsidR="001A2E17" w:rsidRDefault="001A2E17" w:rsidP="001B4C89">
      <w:pPr>
        <w:bidi/>
        <w:spacing w:after="0"/>
        <w:ind w:left="1440"/>
        <w:jc w:val="both"/>
        <w:rPr>
          <w:rFonts w:cs="B Nazanin"/>
          <w:sz w:val="26"/>
          <w:szCs w:val="26"/>
          <w:rtl/>
          <w:lang w:bidi="fa-IR"/>
        </w:rPr>
      </w:pPr>
    </w:p>
    <w:sectPr w:rsidR="001A2E17" w:rsidSect="00AB396C">
      <w:headerReference w:type="default" r:id="rId8"/>
      <w:footerReference w:type="default" r:id="rId9"/>
      <w:pgSz w:w="12240" w:h="15840"/>
      <w:pgMar w:top="2836" w:right="1134" w:bottom="2127" w:left="25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5A1" w:rsidRDefault="003925A1" w:rsidP="00BC3D77">
      <w:pPr>
        <w:spacing w:after="0" w:line="240" w:lineRule="auto"/>
      </w:pPr>
      <w:r>
        <w:separator/>
      </w:r>
    </w:p>
  </w:endnote>
  <w:endnote w:type="continuationSeparator" w:id="1">
    <w:p w:rsidR="003925A1" w:rsidRDefault="003925A1" w:rsidP="00BC3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6079"/>
      <w:docPartObj>
        <w:docPartGallery w:val="Page Numbers (Bottom of Page)"/>
        <w:docPartUnique/>
      </w:docPartObj>
    </w:sdtPr>
    <w:sdtContent>
      <w:p w:rsidR="0093290F" w:rsidRDefault="0093290F">
        <w:pPr>
          <w:pStyle w:val="Footer"/>
          <w:jc w:val="center"/>
          <w:rPr>
            <w:rtl/>
          </w:rPr>
        </w:pPr>
      </w:p>
      <w:p w:rsidR="0093290F" w:rsidRDefault="0093290F">
        <w:pPr>
          <w:pStyle w:val="Footer"/>
          <w:jc w:val="center"/>
        </w:pPr>
        <w:fldSimple w:instr=" PAGE   \* MERGEFORMAT ">
          <w:r w:rsidR="008110A7">
            <w:rPr>
              <w:noProof/>
            </w:rPr>
            <w:t>3</w:t>
          </w:r>
        </w:fldSimple>
      </w:p>
    </w:sdtContent>
  </w:sdt>
  <w:p w:rsidR="0093290F" w:rsidRDefault="00932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5A1" w:rsidRDefault="003925A1" w:rsidP="00BC3D77">
      <w:pPr>
        <w:spacing w:after="0" w:line="240" w:lineRule="auto"/>
      </w:pPr>
      <w:r>
        <w:separator/>
      </w:r>
    </w:p>
  </w:footnote>
  <w:footnote w:type="continuationSeparator" w:id="1">
    <w:p w:rsidR="003925A1" w:rsidRDefault="003925A1" w:rsidP="00BC3D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0F" w:rsidRDefault="0093290F">
    <w:pPr>
      <w:pStyle w:val="Header"/>
      <w:rPr>
        <w:rtl/>
        <w:lang w:bidi="fa-IR"/>
      </w:rPr>
    </w:pPr>
  </w:p>
  <w:p w:rsidR="0093290F" w:rsidRDefault="0093290F">
    <w:pPr>
      <w:pStyle w:val="Header"/>
      <w:rPr>
        <w:rtl/>
        <w:lang w:bidi="fa-IR"/>
      </w:rPr>
    </w:pPr>
  </w:p>
  <w:p w:rsidR="0093290F" w:rsidRDefault="0093290F">
    <w:pPr>
      <w:pStyle w:val="Header"/>
      <w:rPr>
        <w:rtl/>
        <w:lang w:bidi="fa-IR"/>
      </w:rPr>
    </w:pPr>
  </w:p>
  <w:p w:rsidR="0093290F" w:rsidRDefault="0093290F">
    <w:pPr>
      <w:pStyle w:val="Header"/>
      <w:rPr>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95E"/>
    <w:multiLevelType w:val="hybridMultilevel"/>
    <w:tmpl w:val="BF524376"/>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4FAC3C68"/>
    <w:multiLevelType w:val="hybridMultilevel"/>
    <w:tmpl w:val="2820A0B2"/>
    <w:lvl w:ilvl="0" w:tplc="63CC03E8">
      <w:start w:val="1"/>
      <w:numFmt w:val="decimal"/>
      <w:lvlText w:val="%1)"/>
      <w:lvlJc w:val="left"/>
      <w:pPr>
        <w:ind w:left="1919" w:hanging="360"/>
      </w:pPr>
      <w:rPr>
        <w:rFonts w:cs="B Nazanin" w:hint="default"/>
        <w:sz w:val="26"/>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5098"/>
    <w:rsid w:val="00095098"/>
    <w:rsid w:val="000B4670"/>
    <w:rsid w:val="000B47BF"/>
    <w:rsid w:val="000C49A5"/>
    <w:rsid w:val="000C4E9D"/>
    <w:rsid w:val="000F44AE"/>
    <w:rsid w:val="0011209F"/>
    <w:rsid w:val="00113520"/>
    <w:rsid w:val="00114977"/>
    <w:rsid w:val="0012481B"/>
    <w:rsid w:val="00125493"/>
    <w:rsid w:val="00130F0E"/>
    <w:rsid w:val="001461B6"/>
    <w:rsid w:val="001576F0"/>
    <w:rsid w:val="001A2E17"/>
    <w:rsid w:val="001A61C0"/>
    <w:rsid w:val="001B4C89"/>
    <w:rsid w:val="001F2FD2"/>
    <w:rsid w:val="00202219"/>
    <w:rsid w:val="00230274"/>
    <w:rsid w:val="002614A7"/>
    <w:rsid w:val="0026305F"/>
    <w:rsid w:val="00290E2E"/>
    <w:rsid w:val="0029116F"/>
    <w:rsid w:val="002921C4"/>
    <w:rsid w:val="002D39FC"/>
    <w:rsid w:val="002E0F5C"/>
    <w:rsid w:val="003054BC"/>
    <w:rsid w:val="00324D97"/>
    <w:rsid w:val="003251EF"/>
    <w:rsid w:val="0033393E"/>
    <w:rsid w:val="00385A7F"/>
    <w:rsid w:val="00390D5A"/>
    <w:rsid w:val="003925A1"/>
    <w:rsid w:val="003A3F76"/>
    <w:rsid w:val="003C68D1"/>
    <w:rsid w:val="003D1B6A"/>
    <w:rsid w:val="003D3849"/>
    <w:rsid w:val="003E30A9"/>
    <w:rsid w:val="00401D30"/>
    <w:rsid w:val="00425D4C"/>
    <w:rsid w:val="004322A6"/>
    <w:rsid w:val="004425C7"/>
    <w:rsid w:val="00462350"/>
    <w:rsid w:val="0047199D"/>
    <w:rsid w:val="004947B9"/>
    <w:rsid w:val="004C723F"/>
    <w:rsid w:val="004D2363"/>
    <w:rsid w:val="004E082D"/>
    <w:rsid w:val="00511C8A"/>
    <w:rsid w:val="00527AC2"/>
    <w:rsid w:val="00543168"/>
    <w:rsid w:val="00592A5C"/>
    <w:rsid w:val="005D0930"/>
    <w:rsid w:val="005E15D7"/>
    <w:rsid w:val="00601C7E"/>
    <w:rsid w:val="00607461"/>
    <w:rsid w:val="0063200E"/>
    <w:rsid w:val="006401E0"/>
    <w:rsid w:val="0064119F"/>
    <w:rsid w:val="00646CE1"/>
    <w:rsid w:val="00682394"/>
    <w:rsid w:val="006B716B"/>
    <w:rsid w:val="0070236E"/>
    <w:rsid w:val="00757B06"/>
    <w:rsid w:val="00774ADA"/>
    <w:rsid w:val="007759B6"/>
    <w:rsid w:val="007C0DB4"/>
    <w:rsid w:val="007C416F"/>
    <w:rsid w:val="007E3B2B"/>
    <w:rsid w:val="008110A7"/>
    <w:rsid w:val="0081260E"/>
    <w:rsid w:val="00813AB5"/>
    <w:rsid w:val="00826C82"/>
    <w:rsid w:val="0089182B"/>
    <w:rsid w:val="008A2FC9"/>
    <w:rsid w:val="008A5CB6"/>
    <w:rsid w:val="008E1B4E"/>
    <w:rsid w:val="0093290F"/>
    <w:rsid w:val="009D327C"/>
    <w:rsid w:val="009F4CEE"/>
    <w:rsid w:val="00A13648"/>
    <w:rsid w:val="00A178C6"/>
    <w:rsid w:val="00A448FC"/>
    <w:rsid w:val="00A63A20"/>
    <w:rsid w:val="00A828B4"/>
    <w:rsid w:val="00A94CD2"/>
    <w:rsid w:val="00AB396C"/>
    <w:rsid w:val="00AD32FB"/>
    <w:rsid w:val="00B05398"/>
    <w:rsid w:val="00B17EA7"/>
    <w:rsid w:val="00B5437A"/>
    <w:rsid w:val="00B64471"/>
    <w:rsid w:val="00BC3D77"/>
    <w:rsid w:val="00BC5302"/>
    <w:rsid w:val="00BF14D4"/>
    <w:rsid w:val="00C12D82"/>
    <w:rsid w:val="00C3059C"/>
    <w:rsid w:val="00C67E9F"/>
    <w:rsid w:val="00CC571B"/>
    <w:rsid w:val="00CC722C"/>
    <w:rsid w:val="00CD5881"/>
    <w:rsid w:val="00D07AB9"/>
    <w:rsid w:val="00D20FC9"/>
    <w:rsid w:val="00D71AAE"/>
    <w:rsid w:val="00D73EA2"/>
    <w:rsid w:val="00D75B79"/>
    <w:rsid w:val="00D84F0B"/>
    <w:rsid w:val="00DA0208"/>
    <w:rsid w:val="00DF4A74"/>
    <w:rsid w:val="00E3234C"/>
    <w:rsid w:val="00E515FC"/>
    <w:rsid w:val="00E541B6"/>
    <w:rsid w:val="00E677D5"/>
    <w:rsid w:val="00F25C56"/>
    <w:rsid w:val="00F576B8"/>
    <w:rsid w:val="00F65642"/>
    <w:rsid w:val="00F7164E"/>
    <w:rsid w:val="00FF3C5E"/>
    <w:rsid w:val="00FF7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59C"/>
    <w:pPr>
      <w:ind w:left="720"/>
      <w:contextualSpacing/>
    </w:pPr>
  </w:style>
  <w:style w:type="paragraph" w:styleId="Header">
    <w:name w:val="header"/>
    <w:basedOn w:val="Normal"/>
    <w:link w:val="HeaderChar"/>
    <w:uiPriority w:val="99"/>
    <w:semiHidden/>
    <w:unhideWhenUsed/>
    <w:rsid w:val="00BC3D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3D77"/>
  </w:style>
  <w:style w:type="paragraph" w:styleId="Footer">
    <w:name w:val="footer"/>
    <w:basedOn w:val="Normal"/>
    <w:link w:val="FooterChar"/>
    <w:uiPriority w:val="99"/>
    <w:unhideWhenUsed/>
    <w:rsid w:val="00BC3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D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4EDB-1D86-414C-8BE6-08F13D5B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Xp</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97</cp:revision>
  <cp:lastPrinted>2012-12-08T14:26:00Z</cp:lastPrinted>
  <dcterms:created xsi:type="dcterms:W3CDTF">2012-04-03T13:33:00Z</dcterms:created>
  <dcterms:modified xsi:type="dcterms:W3CDTF">2012-12-08T14:38:00Z</dcterms:modified>
</cp:coreProperties>
</file>